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98" w:rsidRDefault="00221698" w:rsidP="00221698">
      <w:pPr>
        <w:pStyle w:val="NormalWeb"/>
      </w:pPr>
      <w:r>
        <w:rPr>
          <w:rStyle w:val="Strong"/>
        </w:rPr>
        <w:t>California’s New “Anti-Wage Theft” Law</w:t>
      </w:r>
    </w:p>
    <w:p w:rsidR="00221698" w:rsidRDefault="00221698" w:rsidP="00221698">
      <w:pPr>
        <w:pStyle w:val="NormalWeb"/>
      </w:pPr>
      <w:r>
        <w:t xml:space="preserve">AB </w:t>
      </w:r>
      <w:proofErr w:type="gramStart"/>
      <w:r>
        <w:t>469 ,</w:t>
      </w:r>
      <w:proofErr w:type="gramEnd"/>
      <w:r>
        <w:t xml:space="preserve"> dubbed the “Wage Theft Prevention Act of 2011,” adds Section 2810.5 to the Labor Code and requires employers to furnish to non-exempt employees, at the time of hiring, </w:t>
      </w:r>
      <w:r w:rsidRPr="00221698">
        <w:rPr>
          <w:b/>
        </w:rPr>
        <w:t>a notice specifying the employee’s rate or rates of pay and the basis on which the employee’s wages are to be calculated (</w:t>
      </w:r>
      <w:r w:rsidRPr="00221698">
        <w:rPr>
          <w:b/>
          <w:i/>
          <w:iCs/>
        </w:rPr>
        <w:t>e.g.</w:t>
      </w:r>
      <w:r w:rsidRPr="00221698">
        <w:rPr>
          <w:b/>
        </w:rPr>
        <w:t>, hourly, daily, piece, salary, commission or by some other method).</w:t>
      </w:r>
      <w:r>
        <w:t xml:space="preserve"> </w:t>
      </w:r>
    </w:p>
    <w:p w:rsidR="00221698" w:rsidRDefault="00221698" w:rsidP="00221698">
      <w:pPr>
        <w:pStyle w:val="NormalWeb"/>
      </w:pPr>
      <w:r>
        <w:t xml:space="preserve">The notice must include applicable overtime rates; allowances, if any, claimed as part of the minimum wage; the employer’s designated regular pay day; the name of the employer, including any fictitious names under which the business operates; and the employer’s physical and mailing addresses. </w:t>
      </w:r>
    </w:p>
    <w:p w:rsidR="00221698" w:rsidRDefault="00221698" w:rsidP="00221698">
      <w:pPr>
        <w:pStyle w:val="NormalWeb"/>
      </w:pPr>
      <w:r>
        <w:t xml:space="preserve">Further, the employer must notify each employee in the form of a new or amended written notice of any changes made to this information within 7 days of their implementation, unless such changes are reflected on a timely wage statement or other writing required to be provided by law. </w:t>
      </w:r>
    </w:p>
    <w:p w:rsidR="00221698" w:rsidRDefault="00221698" w:rsidP="00221698">
      <w:pPr>
        <w:pStyle w:val="NormalWeb"/>
      </w:pPr>
      <w:r>
        <w:t xml:space="preserve">The statute also clarifies existing law to expressly require that </w:t>
      </w:r>
      <w:proofErr w:type="gramStart"/>
      <w:r>
        <w:t>employers</w:t>
      </w:r>
      <w:proofErr w:type="gramEnd"/>
      <w:r>
        <w:t xml:space="preserve"> pay, in addition to applicable civil penalties, restitution to any employee who has been paid a wage less than the minimum fixed by the Industrial Welfare Commission wage orders.</w:t>
      </w:r>
    </w:p>
    <w:p w:rsidR="00221698" w:rsidRDefault="00221698" w:rsidP="00221698">
      <w:pPr>
        <w:pStyle w:val="NormalWeb"/>
      </w:pPr>
      <w:r w:rsidRPr="00221698">
        <w:rPr>
          <w:b/>
        </w:rPr>
        <w:t xml:space="preserve"> AB 469 also criminalizes certain wage violations</w:t>
      </w:r>
      <w:r>
        <w:t xml:space="preserve"> by providing that any employer who willfully violates specified wage statutes or orders, or who willfully fails to pay wages due under a final court judgment or final order of the Labor Commissioner is guilty of a misdemeanor. </w:t>
      </w:r>
    </w:p>
    <w:p w:rsidR="00221698" w:rsidRDefault="00221698" w:rsidP="00221698">
      <w:pPr>
        <w:pStyle w:val="NormalWeb"/>
      </w:pPr>
      <w:proofErr w:type="gramStart"/>
      <w:r>
        <w:t>Additionally, beginning January 1, 2012, the statute of limitations for the Division of Labor Standards Enforcement (“DLSE”) to collect statutory penalties increases from one year to three years.</w:t>
      </w:r>
      <w:proofErr w:type="gramEnd"/>
    </w:p>
    <w:p w:rsidR="003148A2" w:rsidRDefault="003148A2"/>
    <w:sectPr w:rsidR="003148A2" w:rsidSect="0031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698"/>
    <w:rsid w:val="00221698"/>
    <w:rsid w:val="003148A2"/>
    <w:rsid w:val="006D2ED5"/>
    <w:rsid w:val="006D5AE3"/>
    <w:rsid w:val="00822624"/>
    <w:rsid w:val="00896DF9"/>
    <w:rsid w:val="00E1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6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Owner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Ransom</cp:lastModifiedBy>
  <cp:revision>1</cp:revision>
  <dcterms:created xsi:type="dcterms:W3CDTF">2012-01-20T22:59:00Z</dcterms:created>
  <dcterms:modified xsi:type="dcterms:W3CDTF">2012-01-20T22:59:00Z</dcterms:modified>
</cp:coreProperties>
</file>